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4B3219" w:rsidRPr="00390916" w:rsidRDefault="004B3219" w:rsidP="00390916">
            <w:pPr>
              <w:tabs>
                <w:tab w:val="left" w:pos="958"/>
                <w:tab w:val="left" w:pos="4308"/>
              </w:tabs>
              <w:rPr>
                <w:b/>
              </w:rPr>
            </w:pPr>
          </w:p>
          <w:p w:rsidR="004B3219" w:rsidRDefault="004B3219" w:rsidP="004B3219">
            <w:pPr>
              <w:tabs>
                <w:tab w:val="left" w:pos="1503"/>
                <w:tab w:val="left" w:pos="4608"/>
              </w:tabs>
              <w:rPr>
                <w:b/>
                <w:sz w:val="24"/>
                <w:szCs w:val="24"/>
              </w:rPr>
            </w:pPr>
          </w:p>
          <w:p w:rsidR="00461E9A" w:rsidRDefault="00567E9D" w:rsidP="00461E9A">
            <w:pPr>
              <w:tabs>
                <w:tab w:val="left" w:pos="1503"/>
                <w:tab w:val="left" w:pos="4608"/>
              </w:tabs>
              <w:jc w:val="center"/>
              <w:rPr>
                <w:b/>
                <w:sz w:val="24"/>
                <w:szCs w:val="24"/>
              </w:rPr>
            </w:pPr>
            <w:r>
              <w:rPr>
                <w:b/>
                <w:sz w:val="24"/>
                <w:szCs w:val="24"/>
              </w:rPr>
              <w:t xml:space="preserve">Alternative Education </w:t>
            </w:r>
            <w:r w:rsidR="00461E9A">
              <w:rPr>
                <w:b/>
                <w:sz w:val="24"/>
                <w:szCs w:val="24"/>
              </w:rPr>
              <w:t xml:space="preserve">Elective Facilitator </w:t>
            </w:r>
          </w:p>
          <w:p w:rsidR="00461E9A" w:rsidRDefault="00461E9A" w:rsidP="00461E9A">
            <w:pPr>
              <w:tabs>
                <w:tab w:val="left" w:pos="1503"/>
                <w:tab w:val="left" w:pos="4608"/>
              </w:tabs>
              <w:jc w:val="center"/>
              <w:rPr>
                <w:b/>
                <w:i/>
                <w:sz w:val="22"/>
                <w:szCs w:val="22"/>
              </w:rPr>
            </w:pPr>
            <w:r w:rsidRPr="00461E9A">
              <w:rPr>
                <w:b/>
                <w:i/>
                <w:sz w:val="22"/>
                <w:szCs w:val="22"/>
              </w:rPr>
              <w:t>(Teaching Position)</w:t>
            </w:r>
          </w:p>
          <w:p w:rsidR="00461E9A" w:rsidRDefault="00461E9A" w:rsidP="00461E9A">
            <w:pPr>
              <w:tabs>
                <w:tab w:val="left" w:pos="1503"/>
                <w:tab w:val="left" w:pos="4608"/>
              </w:tabs>
              <w:jc w:val="center"/>
              <w:rPr>
                <w:b/>
                <w:i/>
                <w:sz w:val="22"/>
                <w:szCs w:val="22"/>
              </w:rPr>
            </w:pPr>
          </w:p>
          <w:p w:rsidR="00461E9A" w:rsidRPr="00461E9A" w:rsidRDefault="00461E9A" w:rsidP="00461E9A">
            <w:pPr>
              <w:tabs>
                <w:tab w:val="left" w:pos="1503"/>
                <w:tab w:val="left" w:pos="4608"/>
              </w:tabs>
              <w:jc w:val="center"/>
              <w:rPr>
                <w:b/>
                <w:sz w:val="24"/>
                <w:szCs w:val="24"/>
              </w:rPr>
            </w:pPr>
            <w:r w:rsidRPr="00461E9A">
              <w:rPr>
                <w:b/>
                <w:sz w:val="22"/>
                <w:szCs w:val="22"/>
              </w:rPr>
              <w:t>Part-Time - 0.</w:t>
            </w:r>
            <w:r w:rsidR="00C96861">
              <w:rPr>
                <w:b/>
                <w:sz w:val="22"/>
                <w:szCs w:val="22"/>
              </w:rPr>
              <w:t>8</w:t>
            </w:r>
            <w:r w:rsidRPr="00461E9A">
              <w:rPr>
                <w:b/>
                <w:sz w:val="22"/>
                <w:szCs w:val="22"/>
              </w:rPr>
              <w:t xml:space="preserve"> FTE</w:t>
            </w:r>
          </w:p>
          <w:p w:rsidR="00461E9A" w:rsidRPr="00461E9A" w:rsidRDefault="00461E9A" w:rsidP="00ED12D7">
            <w:pPr>
              <w:tabs>
                <w:tab w:val="left" w:pos="1503"/>
                <w:tab w:val="left" w:pos="4608"/>
              </w:tabs>
              <w:jc w:val="center"/>
              <w:rPr>
                <w:b/>
                <w:i/>
                <w:sz w:val="22"/>
                <w:szCs w:val="22"/>
              </w:rPr>
            </w:pPr>
          </w:p>
          <w:p w:rsidR="00461E9A" w:rsidRDefault="00461E9A" w:rsidP="00461E9A">
            <w:pPr>
              <w:tabs>
                <w:tab w:val="left" w:pos="1503"/>
                <w:tab w:val="left" w:pos="4608"/>
              </w:tabs>
              <w:jc w:val="center"/>
              <w:rPr>
                <w:b/>
                <w:sz w:val="22"/>
                <w:szCs w:val="22"/>
              </w:rPr>
            </w:pPr>
            <w:r w:rsidRPr="00461E9A">
              <w:rPr>
                <w:b/>
                <w:sz w:val="22"/>
                <w:szCs w:val="22"/>
              </w:rPr>
              <w:t>Anticipated Site: Independence High School</w:t>
            </w:r>
          </w:p>
          <w:p w:rsidR="00461E9A" w:rsidRPr="00461E9A" w:rsidRDefault="00461E9A" w:rsidP="00461E9A">
            <w:pPr>
              <w:tabs>
                <w:tab w:val="left" w:pos="1503"/>
                <w:tab w:val="left" w:pos="4608"/>
              </w:tabs>
              <w:jc w:val="center"/>
              <w:rPr>
                <w:sz w:val="22"/>
                <w:szCs w:val="22"/>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684E30">
              <w:rPr>
                <w:rFonts w:cs="Arial"/>
                <w:sz w:val="16"/>
                <w:szCs w:val="16"/>
              </w:rPr>
              <w:t>H</w:t>
            </w:r>
            <w:bookmarkStart w:id="0" w:name="_GoBack"/>
            <w:bookmarkEnd w:id="0"/>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390916">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684E30"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A63475" w:rsidRDefault="00A63475" w:rsidP="00A63475">
            <w:pPr>
              <w:tabs>
                <w:tab w:val="left" w:pos="383"/>
              </w:tabs>
              <w:rPr>
                <w:sz w:val="21"/>
                <w:szCs w:val="21"/>
              </w:rPr>
            </w:pPr>
            <w:r w:rsidRPr="008F5EB1">
              <w:rPr>
                <w:sz w:val="21"/>
                <w:szCs w:val="21"/>
              </w:rPr>
              <w:t>The successful candidate will possess the skills, knowledge, and abilities to:</w:t>
            </w:r>
          </w:p>
          <w:p w:rsidR="00A63475" w:rsidRDefault="00A63475" w:rsidP="00A63475">
            <w:pPr>
              <w:tabs>
                <w:tab w:val="left" w:pos="383"/>
              </w:tabs>
              <w:rPr>
                <w:sz w:val="21"/>
                <w:szCs w:val="21"/>
              </w:rPr>
            </w:pPr>
          </w:p>
          <w:p w:rsidR="00461E9A" w:rsidRPr="00461E9A" w:rsidRDefault="00461E9A" w:rsidP="00461E9A">
            <w:pPr>
              <w:numPr>
                <w:ilvl w:val="0"/>
                <w:numId w:val="1"/>
              </w:numPr>
              <w:ind w:left="563"/>
              <w:rPr>
                <w:sz w:val="21"/>
                <w:szCs w:val="21"/>
              </w:rPr>
            </w:pPr>
            <w:r>
              <w:rPr>
                <w:sz w:val="21"/>
                <w:szCs w:val="21"/>
              </w:rPr>
              <w:t>Teach various elective courses, including but not limited to Visual and Performing Arts, in an alternative setting</w:t>
            </w:r>
            <w:r w:rsidR="00A63475" w:rsidRPr="00426D24">
              <w:rPr>
                <w:sz w:val="21"/>
                <w:szCs w:val="21"/>
              </w:rPr>
              <w:t xml:space="preserve"> utilizing the adopted courses of study;</w:t>
            </w:r>
          </w:p>
          <w:p w:rsidR="00461E9A" w:rsidRDefault="00461E9A" w:rsidP="00A63475">
            <w:pPr>
              <w:numPr>
                <w:ilvl w:val="0"/>
                <w:numId w:val="1"/>
              </w:numPr>
              <w:ind w:left="563"/>
              <w:rPr>
                <w:sz w:val="21"/>
                <w:szCs w:val="21"/>
              </w:rPr>
            </w:pPr>
            <w:r>
              <w:rPr>
                <w:sz w:val="21"/>
                <w:szCs w:val="21"/>
              </w:rPr>
              <w:t xml:space="preserve">Provide assistance to students with pacing and troubleshooting of </w:t>
            </w:r>
            <w:r w:rsidR="00910CEE">
              <w:rPr>
                <w:sz w:val="21"/>
                <w:szCs w:val="21"/>
              </w:rPr>
              <w:t xml:space="preserve">online </w:t>
            </w:r>
            <w:r>
              <w:rPr>
                <w:sz w:val="21"/>
                <w:szCs w:val="21"/>
              </w:rPr>
              <w:t xml:space="preserve">elective </w:t>
            </w:r>
            <w:r w:rsidR="00910CEE">
              <w:rPr>
                <w:sz w:val="21"/>
                <w:szCs w:val="21"/>
              </w:rPr>
              <w:t>coursework</w:t>
            </w:r>
            <w:r>
              <w:rPr>
                <w:sz w:val="21"/>
                <w:szCs w:val="21"/>
              </w:rPr>
              <w:t xml:space="preserve"> </w:t>
            </w:r>
            <w:r w:rsidR="00910CEE">
              <w:rPr>
                <w:sz w:val="21"/>
                <w:szCs w:val="21"/>
              </w:rPr>
              <w:t xml:space="preserve">through </w:t>
            </w:r>
            <w:r>
              <w:rPr>
                <w:sz w:val="21"/>
                <w:szCs w:val="21"/>
              </w:rPr>
              <w:t xml:space="preserve">APEX and </w:t>
            </w:r>
            <w:proofErr w:type="spellStart"/>
            <w:r>
              <w:rPr>
                <w:sz w:val="21"/>
                <w:szCs w:val="21"/>
              </w:rPr>
              <w:t>Engenuity</w:t>
            </w:r>
            <w:proofErr w:type="spellEnd"/>
            <w:r w:rsidR="00910CEE">
              <w:rPr>
                <w:sz w:val="21"/>
                <w:szCs w:val="21"/>
              </w:rPr>
              <w:t xml:space="preserve"> learning platforms</w:t>
            </w:r>
            <w:r>
              <w:rPr>
                <w:sz w:val="21"/>
                <w:szCs w:val="21"/>
              </w:rPr>
              <w:t xml:space="preserve">; </w:t>
            </w:r>
          </w:p>
          <w:p w:rsidR="00A63475" w:rsidRPr="00426D24" w:rsidRDefault="00A63475" w:rsidP="00A63475">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A63475" w:rsidRPr="00426D24" w:rsidRDefault="00A63475" w:rsidP="00A63475">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A63475" w:rsidRPr="00426D24" w:rsidRDefault="00A63475" w:rsidP="00A63475">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A63475" w:rsidRPr="00426D24" w:rsidRDefault="00A63475" w:rsidP="00A63475">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A63475" w:rsidRPr="00426D24" w:rsidRDefault="00A63475" w:rsidP="00A63475">
            <w:pPr>
              <w:numPr>
                <w:ilvl w:val="0"/>
                <w:numId w:val="1"/>
              </w:numPr>
              <w:ind w:left="563"/>
              <w:rPr>
                <w:sz w:val="21"/>
                <w:szCs w:val="21"/>
              </w:rPr>
            </w:pPr>
            <w:r w:rsidRPr="00426D24">
              <w:rPr>
                <w:sz w:val="21"/>
                <w:szCs w:val="21"/>
              </w:rPr>
              <w:t>Evaluate student performance and prepare applicable grade reports;</w:t>
            </w:r>
          </w:p>
          <w:p w:rsidR="00A63475" w:rsidRDefault="00A63475" w:rsidP="00A63475">
            <w:pPr>
              <w:numPr>
                <w:ilvl w:val="0"/>
                <w:numId w:val="1"/>
              </w:numPr>
              <w:ind w:left="563"/>
              <w:rPr>
                <w:sz w:val="21"/>
                <w:szCs w:val="21"/>
              </w:rPr>
            </w:pPr>
            <w:r w:rsidRPr="00426D24">
              <w:rPr>
                <w:sz w:val="21"/>
                <w:szCs w:val="21"/>
              </w:rPr>
              <w:t>Communicate and be available to parents and students to discuss individual student’s progress.</w:t>
            </w:r>
          </w:p>
          <w:p w:rsidR="00A63475" w:rsidRDefault="00A63475" w:rsidP="00A63475">
            <w:pPr>
              <w:ind w:left="563"/>
              <w:rPr>
                <w:sz w:val="21"/>
                <w:szCs w:val="21"/>
              </w:rPr>
            </w:pPr>
          </w:p>
          <w:p w:rsidR="00A63475" w:rsidRPr="00DB79FD" w:rsidRDefault="00A63475" w:rsidP="00A63475">
            <w:pPr>
              <w:tabs>
                <w:tab w:val="left" w:pos="383"/>
              </w:tabs>
              <w:ind w:left="23"/>
              <w:rPr>
                <w:sz w:val="21"/>
                <w:szCs w:val="21"/>
              </w:rPr>
            </w:pPr>
            <w:r w:rsidRPr="00DB79FD">
              <w:rPr>
                <w:b/>
                <w:sz w:val="21"/>
                <w:szCs w:val="21"/>
              </w:rPr>
              <w:t>Requirements</w:t>
            </w:r>
            <w:r w:rsidRPr="00DB79FD">
              <w:rPr>
                <w:sz w:val="21"/>
                <w:szCs w:val="21"/>
              </w:rPr>
              <w:t>:</w:t>
            </w:r>
            <w:r w:rsidRPr="00DB79FD">
              <w:rPr>
                <w:sz w:val="21"/>
                <w:szCs w:val="21"/>
              </w:rPr>
              <w:br/>
            </w:r>
          </w:p>
          <w:p w:rsidR="00A63475" w:rsidRPr="00DB79FD" w:rsidRDefault="00A63475" w:rsidP="00A63475">
            <w:pPr>
              <w:numPr>
                <w:ilvl w:val="0"/>
                <w:numId w:val="2"/>
              </w:numPr>
              <w:tabs>
                <w:tab w:val="left" w:pos="383"/>
              </w:tabs>
              <w:rPr>
                <w:sz w:val="21"/>
                <w:szCs w:val="21"/>
              </w:rPr>
            </w:pPr>
            <w:r>
              <w:rPr>
                <w:sz w:val="21"/>
                <w:szCs w:val="21"/>
              </w:rPr>
              <w:t xml:space="preserve">Single Subject Credential </w:t>
            </w:r>
          </w:p>
          <w:p w:rsidR="00A63475" w:rsidRPr="00DB79FD" w:rsidRDefault="00A63475" w:rsidP="00A63475">
            <w:pPr>
              <w:numPr>
                <w:ilvl w:val="0"/>
                <w:numId w:val="2"/>
              </w:numPr>
              <w:tabs>
                <w:tab w:val="left" w:pos="383"/>
              </w:tabs>
              <w:rPr>
                <w:sz w:val="21"/>
                <w:szCs w:val="21"/>
              </w:rPr>
            </w:pPr>
            <w:r w:rsidRPr="00DB79FD">
              <w:rPr>
                <w:sz w:val="21"/>
                <w:szCs w:val="21"/>
              </w:rPr>
              <w:t>English Learner Authorization</w:t>
            </w:r>
          </w:p>
          <w:p w:rsidR="00852927" w:rsidRPr="00ED12D7" w:rsidRDefault="00852927" w:rsidP="00852927">
            <w:pPr>
              <w:tabs>
                <w:tab w:val="left" w:pos="383"/>
              </w:tabs>
              <w:rPr>
                <w:sz w:val="22"/>
                <w:szCs w:val="22"/>
              </w:rPr>
            </w:pPr>
          </w:p>
          <w:p w:rsidR="00883880" w:rsidRDefault="00883880" w:rsidP="00883880">
            <w:pPr>
              <w:rPr>
                <w:sz w:val="21"/>
                <w:szCs w:val="21"/>
              </w:rPr>
            </w:pPr>
          </w:p>
          <w:p w:rsidR="00883880" w:rsidRPr="004D23DE" w:rsidRDefault="00883880" w:rsidP="00883880">
            <w:pPr>
              <w:rPr>
                <w:sz w:val="21"/>
                <w:szCs w:val="21"/>
              </w:rPr>
            </w:pPr>
            <w:r w:rsidRPr="004D23DE">
              <w:rPr>
                <w:sz w:val="21"/>
                <w:szCs w:val="21"/>
              </w:rPr>
              <w:t xml:space="preserve"> </w:t>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A25FB"/>
    <w:rsid w:val="000B3C1C"/>
    <w:rsid w:val="000B3DED"/>
    <w:rsid w:val="000C373B"/>
    <w:rsid w:val="000D0CC8"/>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84E30"/>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0DB2F6"/>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3721</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2021-08-05T20:19:00Z</cp:lastPrinted>
  <dcterms:created xsi:type="dcterms:W3CDTF">2022-05-25T16:05:00Z</dcterms:created>
  <dcterms:modified xsi:type="dcterms:W3CDTF">2022-06-22T21:08:00Z</dcterms:modified>
</cp:coreProperties>
</file>