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426DA3" w:rsidP="0062139F">
            <w:pPr>
              <w:jc w:val="center"/>
              <w:rPr>
                <w:b/>
                <w:color w:val="FFFFFF"/>
                <w:sz w:val="24"/>
                <w:szCs w:val="24"/>
              </w:rPr>
            </w:pPr>
            <w:r>
              <w:rPr>
                <w:b/>
                <w:color w:val="FFFFFF"/>
                <w:sz w:val="24"/>
                <w:szCs w:val="24"/>
              </w:rPr>
              <w:t>July</w:t>
            </w:r>
            <w:bookmarkStart w:id="0" w:name="_GoBack"/>
            <w:bookmarkEnd w:id="0"/>
            <w:r w:rsidR="00AD75FA">
              <w:rPr>
                <w:b/>
                <w:color w:val="FFFFFF"/>
                <w:sz w:val="24"/>
                <w:szCs w:val="24"/>
              </w:rPr>
              <w:t xml:space="preserve"> </w:t>
            </w:r>
            <w:r w:rsidR="00A62E15">
              <w:rPr>
                <w:b/>
                <w:color w:val="FFFFFF"/>
                <w:sz w:val="24"/>
                <w:szCs w:val="24"/>
              </w:rPr>
              <w:t>6</w:t>
            </w:r>
            <w:r w:rsidR="009917A5">
              <w:rPr>
                <w:b/>
                <w:color w:val="FFFFFF"/>
                <w:sz w:val="24"/>
                <w:szCs w:val="24"/>
              </w:rPr>
              <w:t>, 2022</w:t>
            </w:r>
          </w:p>
          <w:p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5306BE" w:rsidP="005306BE">
            <w:pPr>
              <w:jc w:val="center"/>
              <w:rPr>
                <w:b/>
                <w:sz w:val="24"/>
                <w:szCs w:val="24"/>
              </w:rPr>
            </w:pPr>
            <w:r>
              <w:rPr>
                <w:b/>
                <w:sz w:val="24"/>
                <w:szCs w:val="24"/>
              </w:rPr>
              <w:t>FOOD SERVICE WORKER I</w:t>
            </w:r>
            <w:r w:rsidR="00D64C26">
              <w:rPr>
                <w:b/>
                <w:sz w:val="24"/>
                <w:szCs w:val="24"/>
              </w:rPr>
              <w:t>I</w:t>
            </w:r>
            <w:r w:rsidR="003E6422">
              <w:rPr>
                <w:b/>
                <w:sz w:val="24"/>
                <w:szCs w:val="24"/>
              </w:rPr>
              <w:t xml:space="preserve"> </w:t>
            </w:r>
          </w:p>
          <w:p w:rsidR="00A62E15" w:rsidRPr="00105485" w:rsidRDefault="00A62E15" w:rsidP="005306BE">
            <w:pPr>
              <w:jc w:val="center"/>
              <w:rPr>
                <w:b/>
                <w:sz w:val="22"/>
                <w:szCs w:val="22"/>
              </w:rPr>
            </w:pPr>
            <w:r w:rsidRPr="00105485">
              <w:rPr>
                <w:b/>
                <w:sz w:val="22"/>
                <w:szCs w:val="22"/>
              </w:rPr>
              <w:t>(Long-Term Substitute)</w:t>
            </w:r>
          </w:p>
          <w:p w:rsidR="00D64C26" w:rsidRPr="00105485" w:rsidRDefault="00D64C26" w:rsidP="005306BE">
            <w:pPr>
              <w:jc w:val="center"/>
              <w:rPr>
                <w:b/>
                <w:sz w:val="22"/>
                <w:szCs w:val="22"/>
              </w:rPr>
            </w:pPr>
          </w:p>
          <w:p w:rsidR="00815957" w:rsidRDefault="009A4C05" w:rsidP="00A62E15">
            <w:pPr>
              <w:jc w:val="center"/>
              <w:rPr>
                <w:b/>
                <w:sz w:val="24"/>
                <w:szCs w:val="24"/>
              </w:rPr>
            </w:pPr>
            <w:r w:rsidRPr="0062139F">
              <w:rPr>
                <w:b/>
                <w:sz w:val="24"/>
                <w:szCs w:val="24"/>
              </w:rPr>
              <w:t>JOB #</w:t>
            </w:r>
            <w:r w:rsidR="009917A5">
              <w:rPr>
                <w:b/>
                <w:sz w:val="24"/>
                <w:szCs w:val="24"/>
              </w:rPr>
              <w:t>22-</w:t>
            </w:r>
            <w:r w:rsidR="00426DA3">
              <w:rPr>
                <w:b/>
                <w:sz w:val="24"/>
                <w:szCs w:val="24"/>
              </w:rPr>
              <w:t>76</w:t>
            </w:r>
          </w:p>
          <w:p w:rsidR="00105485" w:rsidRDefault="00105485" w:rsidP="00A62E15">
            <w:pPr>
              <w:jc w:val="center"/>
            </w:pPr>
          </w:p>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3E6422" w:rsidRDefault="00544B66" w:rsidP="003A164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p w:rsidR="00145DB7" w:rsidRPr="0062139F" w:rsidRDefault="00145DB7" w:rsidP="003A164E">
            <w:pPr>
              <w:jc w:val="right"/>
              <w:rPr>
                <w:b/>
                <w:sz w:val="24"/>
                <w:szCs w:val="24"/>
              </w:rPr>
            </w:pPr>
            <w:r>
              <w:rPr>
                <w:b/>
                <w:sz w:val="24"/>
                <w:szCs w:val="24"/>
              </w:rPr>
              <w:t>Anticipated Start Date:</w:t>
            </w:r>
          </w:p>
        </w:tc>
        <w:tc>
          <w:tcPr>
            <w:tcW w:w="3064" w:type="dxa"/>
            <w:tcBorders>
              <w:top w:val="nil"/>
              <w:left w:val="nil"/>
              <w:bottom w:val="nil"/>
            </w:tcBorders>
          </w:tcPr>
          <w:p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rsidR="0065793E" w:rsidRDefault="00D64C26" w:rsidP="0065793E">
            <w:pPr>
              <w:rPr>
                <w:b/>
                <w:sz w:val="24"/>
                <w:szCs w:val="24"/>
              </w:rPr>
            </w:pPr>
            <w:r>
              <w:rPr>
                <w:b/>
                <w:sz w:val="24"/>
                <w:szCs w:val="24"/>
              </w:rPr>
              <w:t>40</w:t>
            </w:r>
            <w:r w:rsidR="003E6485">
              <w:rPr>
                <w:b/>
                <w:sz w:val="24"/>
                <w:szCs w:val="24"/>
              </w:rPr>
              <w:t xml:space="preserve"> </w:t>
            </w:r>
            <w:proofErr w:type="spellStart"/>
            <w:r w:rsidR="003E6485">
              <w:rPr>
                <w:b/>
                <w:sz w:val="24"/>
                <w:szCs w:val="24"/>
              </w:rPr>
              <w:t>hrs</w:t>
            </w:r>
            <w:proofErr w:type="spellEnd"/>
            <w:r w:rsidR="003E6485">
              <w:rPr>
                <w:b/>
                <w:sz w:val="24"/>
                <w:szCs w:val="24"/>
              </w:rPr>
              <w:t>/</w:t>
            </w:r>
            <w:proofErr w:type="spellStart"/>
            <w:r w:rsidR="003E6485">
              <w:rPr>
                <w:b/>
                <w:sz w:val="24"/>
                <w:szCs w:val="24"/>
              </w:rPr>
              <w:t>wk</w:t>
            </w:r>
            <w:proofErr w:type="spellEnd"/>
          </w:p>
          <w:p w:rsidR="0065793E" w:rsidRDefault="0065793E" w:rsidP="0065793E">
            <w:pPr>
              <w:rPr>
                <w:b/>
                <w:sz w:val="24"/>
                <w:szCs w:val="24"/>
              </w:rPr>
            </w:pPr>
            <w:r>
              <w:rPr>
                <w:b/>
                <w:sz w:val="24"/>
                <w:szCs w:val="24"/>
              </w:rPr>
              <w:t>$</w:t>
            </w:r>
            <w:r w:rsidR="00105485">
              <w:rPr>
                <w:b/>
                <w:sz w:val="24"/>
                <w:szCs w:val="24"/>
              </w:rPr>
              <w:t>15.87 - $22.25</w:t>
            </w:r>
            <w:r>
              <w:rPr>
                <w:b/>
                <w:sz w:val="24"/>
                <w:szCs w:val="24"/>
              </w:rPr>
              <w:t>/hr</w:t>
            </w:r>
          </w:p>
          <w:p w:rsidR="003E6422" w:rsidRDefault="001755DD" w:rsidP="003A164E">
            <w:pPr>
              <w:rPr>
                <w:b/>
                <w:sz w:val="24"/>
                <w:szCs w:val="24"/>
              </w:rPr>
            </w:pPr>
            <w:r>
              <w:rPr>
                <w:b/>
                <w:sz w:val="24"/>
                <w:szCs w:val="24"/>
              </w:rPr>
              <w:t>El Dorado</w:t>
            </w:r>
            <w:r w:rsidR="00E22771">
              <w:rPr>
                <w:b/>
                <w:sz w:val="24"/>
                <w:szCs w:val="24"/>
              </w:rPr>
              <w:t xml:space="preserve"> High School</w:t>
            </w:r>
          </w:p>
          <w:p w:rsidR="00145DB7" w:rsidRPr="0062139F" w:rsidRDefault="00145DB7" w:rsidP="003A164E">
            <w:pPr>
              <w:rPr>
                <w:b/>
                <w:sz w:val="24"/>
                <w:szCs w:val="24"/>
              </w:rPr>
            </w:pPr>
            <w:r>
              <w:rPr>
                <w:b/>
                <w:sz w:val="24"/>
                <w:szCs w:val="24"/>
              </w:rPr>
              <w:t>August 8, 2022</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Pr="00D64C26" w:rsidRDefault="0065793E" w:rsidP="0065793E">
            <w:pPr>
              <w:ind w:left="192" w:right="192"/>
              <w:rPr>
                <w:sz w:val="22"/>
                <w:szCs w:val="22"/>
              </w:rPr>
            </w:pPr>
            <w:r w:rsidRPr="00D64C26">
              <w:rPr>
                <w:sz w:val="22"/>
                <w:szCs w:val="22"/>
              </w:rPr>
              <w:t xml:space="preserve">The successful candidate will possess the skills, knowledge and abilities to: </w:t>
            </w:r>
          </w:p>
          <w:p w:rsidR="0065793E" w:rsidRPr="00D64C26" w:rsidRDefault="0065793E" w:rsidP="0065793E">
            <w:pPr>
              <w:ind w:left="192" w:right="192"/>
              <w:rPr>
                <w:sz w:val="22"/>
                <w:szCs w:val="22"/>
              </w:rPr>
            </w:pPr>
          </w:p>
          <w:p w:rsidR="00D64C26" w:rsidRPr="00D64C26" w:rsidRDefault="00D64C26" w:rsidP="00D64C26">
            <w:pPr>
              <w:numPr>
                <w:ilvl w:val="0"/>
                <w:numId w:val="3"/>
              </w:numPr>
              <w:ind w:right="192"/>
              <w:rPr>
                <w:sz w:val="22"/>
                <w:szCs w:val="22"/>
              </w:rPr>
            </w:pPr>
            <w:r w:rsidRPr="00D64C26">
              <w:rPr>
                <w:sz w:val="22"/>
                <w:szCs w:val="22"/>
              </w:rPr>
              <w:t>Work independently receiving, preparing, serving and selling food to students and faculty</w:t>
            </w:r>
          </w:p>
          <w:p w:rsidR="00D64C26" w:rsidRPr="00D64C26" w:rsidRDefault="00D64C26" w:rsidP="00D64C26">
            <w:pPr>
              <w:ind w:left="912" w:right="192"/>
              <w:rPr>
                <w:sz w:val="22"/>
                <w:szCs w:val="22"/>
              </w:rPr>
            </w:pPr>
          </w:p>
          <w:p w:rsidR="00D64C26" w:rsidRPr="00D64C26" w:rsidRDefault="00D64C26" w:rsidP="00D64C26">
            <w:pPr>
              <w:numPr>
                <w:ilvl w:val="0"/>
                <w:numId w:val="3"/>
              </w:numPr>
              <w:ind w:right="192"/>
              <w:rPr>
                <w:sz w:val="22"/>
                <w:szCs w:val="22"/>
              </w:rPr>
            </w:pPr>
            <w:r w:rsidRPr="00D64C26">
              <w:rPr>
                <w:sz w:val="22"/>
                <w:szCs w:val="22"/>
              </w:rPr>
              <w:t>Maintain food service facilities in a clean and sanitary condition</w:t>
            </w:r>
          </w:p>
          <w:p w:rsidR="00D64C26" w:rsidRPr="00D64C26" w:rsidRDefault="00D64C26" w:rsidP="00D64C26">
            <w:pPr>
              <w:ind w:left="743" w:right="192"/>
              <w:rPr>
                <w:sz w:val="22"/>
                <w:szCs w:val="22"/>
              </w:rPr>
            </w:pPr>
          </w:p>
          <w:p w:rsidR="00D64C26" w:rsidRPr="00D64C26" w:rsidRDefault="00D64C26" w:rsidP="00D64C26">
            <w:pPr>
              <w:numPr>
                <w:ilvl w:val="0"/>
                <w:numId w:val="3"/>
              </w:numPr>
              <w:ind w:right="192"/>
              <w:rPr>
                <w:sz w:val="22"/>
                <w:szCs w:val="22"/>
              </w:rPr>
            </w:pPr>
            <w:r w:rsidRPr="00D64C26">
              <w:rPr>
                <w:sz w:val="22"/>
                <w:szCs w:val="22"/>
              </w:rPr>
              <w:t>Operate standard cafeteria appliances, equipment and utensils</w:t>
            </w:r>
          </w:p>
          <w:p w:rsidR="00D64C26" w:rsidRPr="00D64C26" w:rsidRDefault="00D64C26" w:rsidP="00D64C26">
            <w:pPr>
              <w:ind w:left="743" w:right="192"/>
              <w:rPr>
                <w:sz w:val="22"/>
                <w:szCs w:val="22"/>
              </w:rPr>
            </w:pPr>
          </w:p>
          <w:p w:rsidR="00D64C26" w:rsidRPr="00D64C26" w:rsidRDefault="00D64C26" w:rsidP="00D64C26">
            <w:pPr>
              <w:numPr>
                <w:ilvl w:val="0"/>
                <w:numId w:val="3"/>
              </w:numPr>
              <w:ind w:right="192"/>
              <w:rPr>
                <w:sz w:val="22"/>
                <w:szCs w:val="22"/>
              </w:rPr>
            </w:pPr>
            <w:r w:rsidRPr="00D64C26">
              <w:rPr>
                <w:sz w:val="22"/>
                <w:szCs w:val="22"/>
              </w:rPr>
              <w:t>Assist in various record keeping and inventory</w:t>
            </w:r>
          </w:p>
          <w:p w:rsidR="00D64C26" w:rsidRPr="00D64C26" w:rsidRDefault="00D64C26" w:rsidP="00D64C26">
            <w:pPr>
              <w:ind w:left="552" w:right="192"/>
              <w:rPr>
                <w:sz w:val="22"/>
                <w:szCs w:val="22"/>
              </w:rPr>
            </w:pPr>
          </w:p>
          <w:p w:rsidR="00D64C26" w:rsidRPr="00D64C26" w:rsidRDefault="00D64C26" w:rsidP="00D64C26">
            <w:pPr>
              <w:numPr>
                <w:ilvl w:val="0"/>
                <w:numId w:val="3"/>
              </w:numPr>
              <w:ind w:right="192"/>
              <w:rPr>
                <w:sz w:val="22"/>
                <w:szCs w:val="22"/>
              </w:rPr>
            </w:pPr>
            <w:r w:rsidRPr="00D64C26">
              <w:rPr>
                <w:sz w:val="22"/>
                <w:szCs w:val="22"/>
              </w:rPr>
              <w:t>Demonstrate principals and methods of quantity food preparation, serving and storage</w:t>
            </w:r>
          </w:p>
          <w:p w:rsidR="00D64C26" w:rsidRPr="00D64C26" w:rsidRDefault="00D64C26" w:rsidP="00D64C26">
            <w:pPr>
              <w:ind w:right="192"/>
              <w:rPr>
                <w:sz w:val="22"/>
                <w:szCs w:val="22"/>
              </w:rPr>
            </w:pPr>
          </w:p>
          <w:p w:rsidR="00D64C26" w:rsidRPr="00D64C26" w:rsidRDefault="00D64C26" w:rsidP="00D64C26">
            <w:pPr>
              <w:numPr>
                <w:ilvl w:val="0"/>
                <w:numId w:val="3"/>
              </w:numPr>
              <w:ind w:right="192"/>
              <w:rPr>
                <w:sz w:val="22"/>
                <w:szCs w:val="22"/>
              </w:rPr>
            </w:pPr>
            <w:r w:rsidRPr="00D64C26">
              <w:rPr>
                <w:sz w:val="22"/>
                <w:szCs w:val="22"/>
              </w:rPr>
              <w:t>Establish and maintain effective relationships</w:t>
            </w:r>
          </w:p>
          <w:p w:rsidR="00D64C26" w:rsidRPr="00D64C26" w:rsidRDefault="00D64C26" w:rsidP="00D64C26">
            <w:pPr>
              <w:ind w:left="552" w:right="192"/>
              <w:rPr>
                <w:sz w:val="22"/>
                <w:szCs w:val="22"/>
              </w:rPr>
            </w:pPr>
            <w:proofErr w:type="gramStart"/>
            <w:r w:rsidRPr="00D64C26">
              <w:rPr>
                <w:sz w:val="22"/>
                <w:szCs w:val="22"/>
              </w:rPr>
              <w:t>with</w:t>
            </w:r>
            <w:proofErr w:type="gramEnd"/>
            <w:r w:rsidRPr="00D64C26">
              <w:rPr>
                <w:sz w:val="22"/>
                <w:szCs w:val="22"/>
              </w:rPr>
              <w:t xml:space="preserve"> those contacted in the course of work.</w:t>
            </w:r>
          </w:p>
          <w:p w:rsidR="0065793E" w:rsidRDefault="0065793E" w:rsidP="0065793E">
            <w:pPr>
              <w:ind w:right="192"/>
              <w:rPr>
                <w:sz w:val="24"/>
                <w:szCs w:val="24"/>
              </w:rPr>
            </w:pPr>
          </w:p>
          <w:p w:rsidR="0065793E" w:rsidRPr="00D64C26" w:rsidRDefault="0065793E" w:rsidP="0065793E">
            <w:pPr>
              <w:ind w:left="192" w:right="192"/>
              <w:rPr>
                <w:sz w:val="22"/>
                <w:szCs w:val="22"/>
              </w:rPr>
            </w:pPr>
            <w:r w:rsidRPr="00D64C26">
              <w:rPr>
                <w:sz w:val="22"/>
                <w:szCs w:val="22"/>
              </w:rPr>
              <w:t>This position requires the successful candidate to pass a pre-employment lifting evaluation.  If you are given a conditional offer of employment, further information will be included in your pre-employment paperwork.</w:t>
            </w:r>
          </w:p>
          <w:p w:rsidR="00113AE4" w:rsidRDefault="00113AE4" w:rsidP="0065793E">
            <w:pPr>
              <w:ind w:right="192"/>
              <w:rPr>
                <w:sz w:val="24"/>
                <w:szCs w:val="24"/>
              </w:rPr>
            </w:pPr>
          </w:p>
          <w:p w:rsidR="00D64C26" w:rsidRDefault="00D64C26" w:rsidP="00113AE4">
            <w:pPr>
              <w:ind w:left="263" w:right="192" w:hanging="90"/>
              <w:jc w:val="center"/>
              <w:rPr>
                <w:i/>
              </w:rPr>
            </w:pPr>
          </w:p>
          <w:p w:rsidR="00F43C6F" w:rsidRDefault="00F43C6F" w:rsidP="00113AE4">
            <w:pPr>
              <w:ind w:left="263" w:right="192" w:hanging="90"/>
              <w:jc w:val="center"/>
              <w:rPr>
                <w:i/>
              </w:rPr>
            </w:pPr>
          </w:p>
          <w:p w:rsidR="00723410" w:rsidRDefault="00723410" w:rsidP="0065793E">
            <w:pPr>
              <w:ind w:right="192"/>
              <w:rPr>
                <w:sz w:val="24"/>
                <w:szCs w:val="24"/>
              </w:rPr>
            </w:pP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386E98" w:rsidRDefault="00426DA3" w:rsidP="00DC2881">
            <w:pPr>
              <w:ind w:left="192" w:right="192"/>
              <w:jc w:val="center"/>
            </w:pPr>
            <w:hyperlink r:id="rId8" w:history="1">
              <w:r w:rsidR="00386E98" w:rsidRPr="00755818">
                <w:rPr>
                  <w:rStyle w:val="Hyperlink"/>
                </w:rPr>
                <w:t>www.edjoin.org/EDUHSD</w:t>
              </w:r>
            </w:hyperlink>
            <w:r w:rsidR="00386E98">
              <w:t xml:space="preserve"> </w:t>
            </w:r>
          </w:p>
          <w:p w:rsidR="002F0F68" w:rsidRPr="00386E98" w:rsidRDefault="002F0F68" w:rsidP="00386E98">
            <w:pPr>
              <w:tabs>
                <w:tab w:val="left" w:pos="3960"/>
              </w:tabs>
            </w:pP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34847"/>
    <w:rsid w:val="00037B77"/>
    <w:rsid w:val="00050742"/>
    <w:rsid w:val="00091356"/>
    <w:rsid w:val="00093302"/>
    <w:rsid w:val="000A25FB"/>
    <w:rsid w:val="000B0F64"/>
    <w:rsid w:val="000B6B4A"/>
    <w:rsid w:val="000C373B"/>
    <w:rsid w:val="000C3D54"/>
    <w:rsid w:val="000F47FF"/>
    <w:rsid w:val="00105485"/>
    <w:rsid w:val="00113AE4"/>
    <w:rsid w:val="001210CE"/>
    <w:rsid w:val="00123B02"/>
    <w:rsid w:val="001323EC"/>
    <w:rsid w:val="00145DB7"/>
    <w:rsid w:val="001755DD"/>
    <w:rsid w:val="001865DC"/>
    <w:rsid w:val="001A064F"/>
    <w:rsid w:val="001C43A4"/>
    <w:rsid w:val="001E28DE"/>
    <w:rsid w:val="00207542"/>
    <w:rsid w:val="002309F8"/>
    <w:rsid w:val="0023284F"/>
    <w:rsid w:val="0025146E"/>
    <w:rsid w:val="00257014"/>
    <w:rsid w:val="002646AE"/>
    <w:rsid w:val="0028635C"/>
    <w:rsid w:val="00286758"/>
    <w:rsid w:val="002A1B98"/>
    <w:rsid w:val="002A429D"/>
    <w:rsid w:val="002A45D4"/>
    <w:rsid w:val="002D4EAF"/>
    <w:rsid w:val="002F0F68"/>
    <w:rsid w:val="002F5A80"/>
    <w:rsid w:val="00311024"/>
    <w:rsid w:val="0033088C"/>
    <w:rsid w:val="00356349"/>
    <w:rsid w:val="00365284"/>
    <w:rsid w:val="00381CDF"/>
    <w:rsid w:val="00386E98"/>
    <w:rsid w:val="003A164E"/>
    <w:rsid w:val="003D242F"/>
    <w:rsid w:val="003E6422"/>
    <w:rsid w:val="003E6485"/>
    <w:rsid w:val="003F5E09"/>
    <w:rsid w:val="004033D8"/>
    <w:rsid w:val="00411273"/>
    <w:rsid w:val="00426DA3"/>
    <w:rsid w:val="00427260"/>
    <w:rsid w:val="0045122E"/>
    <w:rsid w:val="00460B5E"/>
    <w:rsid w:val="00487B1B"/>
    <w:rsid w:val="004B4395"/>
    <w:rsid w:val="004C2482"/>
    <w:rsid w:val="004C393A"/>
    <w:rsid w:val="004D3F49"/>
    <w:rsid w:val="004F311B"/>
    <w:rsid w:val="004F41D9"/>
    <w:rsid w:val="0050714D"/>
    <w:rsid w:val="0051037F"/>
    <w:rsid w:val="00512915"/>
    <w:rsid w:val="0052111D"/>
    <w:rsid w:val="005219F7"/>
    <w:rsid w:val="005306BE"/>
    <w:rsid w:val="00535926"/>
    <w:rsid w:val="00540A5C"/>
    <w:rsid w:val="00544B66"/>
    <w:rsid w:val="005645A9"/>
    <w:rsid w:val="00573A09"/>
    <w:rsid w:val="005765F4"/>
    <w:rsid w:val="005B01EB"/>
    <w:rsid w:val="006135BD"/>
    <w:rsid w:val="0062139F"/>
    <w:rsid w:val="0064342D"/>
    <w:rsid w:val="00653612"/>
    <w:rsid w:val="0065793E"/>
    <w:rsid w:val="006A6389"/>
    <w:rsid w:val="006A6546"/>
    <w:rsid w:val="006B5046"/>
    <w:rsid w:val="006B5A04"/>
    <w:rsid w:val="006B71CD"/>
    <w:rsid w:val="006C7D19"/>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26AF3"/>
    <w:rsid w:val="00834E36"/>
    <w:rsid w:val="0083716E"/>
    <w:rsid w:val="00857D93"/>
    <w:rsid w:val="008A3FD1"/>
    <w:rsid w:val="008B4A12"/>
    <w:rsid w:val="008B7A14"/>
    <w:rsid w:val="008D214F"/>
    <w:rsid w:val="008E4D8D"/>
    <w:rsid w:val="008F7CC7"/>
    <w:rsid w:val="00903BC1"/>
    <w:rsid w:val="0090415D"/>
    <w:rsid w:val="00904746"/>
    <w:rsid w:val="009119C0"/>
    <w:rsid w:val="00934C9A"/>
    <w:rsid w:val="0096418F"/>
    <w:rsid w:val="009917A5"/>
    <w:rsid w:val="009A4C05"/>
    <w:rsid w:val="009B2139"/>
    <w:rsid w:val="009C7ED9"/>
    <w:rsid w:val="009D0302"/>
    <w:rsid w:val="00A213DF"/>
    <w:rsid w:val="00A54857"/>
    <w:rsid w:val="00A56F53"/>
    <w:rsid w:val="00A62E15"/>
    <w:rsid w:val="00A70FE2"/>
    <w:rsid w:val="00A8102B"/>
    <w:rsid w:val="00A8764E"/>
    <w:rsid w:val="00A96FC0"/>
    <w:rsid w:val="00AD75FA"/>
    <w:rsid w:val="00B01CC4"/>
    <w:rsid w:val="00B353C7"/>
    <w:rsid w:val="00B35C6C"/>
    <w:rsid w:val="00B7423E"/>
    <w:rsid w:val="00B940C5"/>
    <w:rsid w:val="00BA753B"/>
    <w:rsid w:val="00BC79FE"/>
    <w:rsid w:val="00BD0344"/>
    <w:rsid w:val="00BD1ECC"/>
    <w:rsid w:val="00BE0D8A"/>
    <w:rsid w:val="00BF227D"/>
    <w:rsid w:val="00BF480E"/>
    <w:rsid w:val="00C1560E"/>
    <w:rsid w:val="00C4077C"/>
    <w:rsid w:val="00C46341"/>
    <w:rsid w:val="00C548DF"/>
    <w:rsid w:val="00C6056D"/>
    <w:rsid w:val="00CB07B9"/>
    <w:rsid w:val="00CC4898"/>
    <w:rsid w:val="00CF06A0"/>
    <w:rsid w:val="00CF5236"/>
    <w:rsid w:val="00D108FA"/>
    <w:rsid w:val="00D110FA"/>
    <w:rsid w:val="00D33842"/>
    <w:rsid w:val="00D5351B"/>
    <w:rsid w:val="00D570C0"/>
    <w:rsid w:val="00D64C26"/>
    <w:rsid w:val="00D9661C"/>
    <w:rsid w:val="00DC2881"/>
    <w:rsid w:val="00DD26E3"/>
    <w:rsid w:val="00DE0E1D"/>
    <w:rsid w:val="00DE1B2E"/>
    <w:rsid w:val="00DE2467"/>
    <w:rsid w:val="00DE3858"/>
    <w:rsid w:val="00DF391D"/>
    <w:rsid w:val="00E05AAC"/>
    <w:rsid w:val="00E22771"/>
    <w:rsid w:val="00E3683C"/>
    <w:rsid w:val="00E5562E"/>
    <w:rsid w:val="00E766AE"/>
    <w:rsid w:val="00EB116F"/>
    <w:rsid w:val="00ED1905"/>
    <w:rsid w:val="00ED4ABA"/>
    <w:rsid w:val="00EF74CE"/>
    <w:rsid w:val="00F43C6F"/>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E79696"/>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3343</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2022-05-25T20:36:00Z</cp:lastPrinted>
  <dcterms:created xsi:type="dcterms:W3CDTF">2022-06-27T19:13:00Z</dcterms:created>
  <dcterms:modified xsi:type="dcterms:W3CDTF">2022-06-27T19:13:00Z</dcterms:modified>
</cp:coreProperties>
</file>